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100"/>
      </w:pPr>
      <w:r>
        <w:rPr>
          <w:rFonts w:ascii="Calibri" w:cs="Calibri" w:eastAsia="Calibri" w:hAnsi="Calibri"/>
          <w:b/>
          <w:bCs/>
          <w:color w:val="2E74B5"/>
          <w:sz w:val="22"/>
          <w:szCs w:val="22"/>
        </w:rPr>
        <w:t xml:space="preserve">BUSINESS RESILIENCE PULSE CHECK</w:t>
      </w:r>
    </w:p>
    <w:p>
      <w:pPr>
        <w:spacing w:after="200"/>
      </w:pPr>
      <w:r>
        <w:rPr>
          <w:rFonts w:ascii="Calibri" w:cs="Calibri" w:eastAsia="Calibri" w:hAnsi="Calibri"/>
          <w:b/>
          <w:bCs/>
          <w:color w:val="595959"/>
          <w:sz w:val="20"/>
          <w:szCs w:val="20"/>
        </w:rPr>
        <w:t xml:space="preserve">SCENARIO PACKAGE GS-1a</w:t>
      </w:r>
    </w:p>
    <w:p>
      <w:pPr>
        <w:spacing w:after="120"/>
      </w:pPr>
      <w:r>
        <w:rPr>
          <w:rFonts w:ascii="Calibri" w:cs="Calibri" w:eastAsia="Calibri" w:hAnsi="Calibri"/>
          <w:b/>
          <w:bCs/>
          <w:color w:val="1F3864"/>
          <w:sz w:val="52"/>
          <w:szCs w:val="52"/>
        </w:rPr>
        <w:t xml:space="preserve">Ransomware</w:t>
      </w:r>
    </w:p>
    <w:p>
      <w:pPr>
        <w:spacing w:after="100"/>
      </w:pPr>
      <w:r>
        <w:rPr>
          <w:rFonts w:ascii="Calibri" w:cs="Calibri" w:eastAsia="Calibri" w:hAnsi="Calibri"/>
          <w:color w:val="595959"/>
          <w:sz w:val="24"/>
          <w:szCs w:val="24"/>
        </w:rPr>
        <w:t xml:space="preserve">Patient Safety and HIPAA Notification — Business Response Focus</w:t>
      </w:r>
    </w:p>
    <w:p>
      <w:pPr>
        <w:pBdr>
          <w:bottom w:val="single" w:color="2E74B5" w:sz="8" w:space="6"/>
        </w:pBdr>
        <w:spacing w:after="80"/>
      </w:pPr>
      <w:r>
        <w:rPr>
          <w:rFonts w:ascii="Calibri" w:cs="Calibri" w:eastAsia="Calibri" w:hAnsi="Calibri"/>
          <w:color w:val="595959"/>
          <w:sz w:val="20"/>
          <w:szCs w:val="20"/>
        </w:rPr>
        <w:t xml:space="preserve">Industry: Healthcare  |  Duration: 2–3 Hours  |  Version 1.0  |  July 2026</w:t>
      </w:r>
    </w:p>
    <w:p>
      <w:pPr>
        <w:spacing w:after="160"/>
      </w:pPr>
    </w:p>
    <w:p>
      <w:pPr>
        <w:pStyle w:val="Heading1"/>
        <w:keepNext/>
        <w:spacing w:after="140" w:before="320"/>
      </w:pPr>
      <w:r>
        <w:rPr>
          <w:rFonts w:ascii="Calibri" w:cs="Calibri" w:eastAsia="Calibri" w:hAnsi="Calibri"/>
          <w:b/>
          <w:bCs/>
          <w:color w:val="1F3864"/>
          <w:sz w:val="30"/>
          <w:szCs w:val="30"/>
        </w:rPr>
        <w:t xml:space="preserve">Scenario Overview</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100"/>
        <w:gridCol w:w="6260"/>
      </w:tblGrid>
      <w:tr>
        <w:trPr>
          <w:tblHeader/>
        </w:trPr>
        <w:tc>
          <w:tcPr>
            <w:tcW w:type="dxa" w:w="31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Field</w:t>
            </w:r>
          </w:p>
        </w:tc>
        <w:tc>
          <w:tcPr>
            <w:tcW w:type="dxa" w:w="62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Detail</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Threat category</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Ransomware / Major Cyber Incident</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Business response focus</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Healthcare — patient safety decisions, PHI exposure, HIPAA notification, and clinical operations continuity. Decision-making, communication, and coordination, not technical incident response.</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Duration</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2–3 hours (3 modules + hot wash)</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Recommended participants</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Practice Administrator/CEO, Clinical Director, Privacy/Compliance Officer, IT, Billing/Revenue Cycle, Office Manager, HR</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Key decisions tested</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Patient safety, clinical continuity, PHI breach assessment, HIPAA notification (60-day clock), HHS/OCR reporting, patient communication</w:t>
            </w:r>
          </w:p>
        </w:tc>
      </w:tr>
    </w:tbl>
    <w:p>
      <w:pPr>
        <w:spacing w:after="120"/>
      </w:pP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595959" w:sz="24"/>
              <w:bottom w:val="none" w:color="FFFFFF" w:sz="0"/>
              <w:right w:val="none" w:color="FFFFFF" w:sz="0"/>
            </w:tcBorders>
            <w:shd w:fill="F2F2F2" w:val="clear"/>
            <w:tcMar>
              <w:top w:type="dxa" w:w="100"/>
              <w:left w:type="dxa" w:w="160"/>
              <w:bottom w:type="dxa" w:w="100"/>
              <w:right w:type="dxa" w:w="160"/>
            </w:tcMar>
          </w:tcPr>
          <w:p>
            <w:pPr>
              <w:spacing w:after="60"/>
            </w:pPr>
            <w:r>
              <w:rPr>
                <w:rFonts w:ascii="Calibri" w:cs="Calibri" w:eastAsia="Calibri" w:hAnsi="Calibri"/>
                <w:b/>
                <w:bCs/>
                <w:color w:val="595959"/>
                <w:sz w:val="20"/>
                <w:szCs w:val="20"/>
              </w:rPr>
              <w:t xml:space="preserve">NOTE — HIPAA Notification Timeline</w:t>
            </w:r>
          </w:p>
          <w:p>
            <w:pPr>
              <w:spacing w:after="40" w:before="0" w:line="276"/>
            </w:pPr>
            <w:r>
              <w:rPr>
                <w:rFonts w:ascii="Calibri" w:cs="Calibri" w:eastAsia="Calibri" w:hAnsi="Calibri"/>
                <w:color w:val="404040"/>
                <w:sz w:val="20"/>
                <w:szCs w:val="20"/>
              </w:rPr>
              <w:t xml:space="preserve">HIPAA requires breach notification to affected individuals within 60 days of discovery. Breaches affecting 500+ individuals require notification to HHS/OCR. State laws may impose shorter timelines. This scenario tests whether participants understand these obligations.</w:t>
            </w:r>
          </w:p>
        </w:tc>
      </w:tr>
    </w:tbl>
    <w:p>
      <w:pPr>
        <w:pStyle w:val="Heading1"/>
        <w:keepNext/>
        <w:spacing w:after="140" w:before="320"/>
      </w:pPr>
      <w:r>
        <w:rPr>
          <w:rFonts w:ascii="Calibri" w:cs="Calibri" w:eastAsia="Calibri" w:hAnsi="Calibri"/>
          <w:b/>
          <w:bCs/>
          <w:color w:val="1F3864"/>
          <w:sz w:val="30"/>
          <w:szCs w:val="30"/>
        </w:rPr>
        <w:t xml:space="preserve">Scenario Narrative</w:t>
      </w:r>
    </w:p>
    <w:p>
      <w:pPr>
        <w:pStyle w:val="Heading2"/>
        <w:keepNext/>
        <w:spacing w:after="110" w:before="240"/>
      </w:pPr>
      <w:r>
        <w:rPr>
          <w:rFonts w:ascii="Calibri" w:cs="Calibri" w:eastAsia="Calibri" w:hAnsi="Calibri"/>
          <w:b/>
          <w:bCs/>
          <w:color w:val="2E74B5"/>
          <w:sz w:val="25"/>
          <w:szCs w:val="25"/>
        </w:rPr>
        <w:t xml:space="preserve">Background</w:t>
      </w:r>
    </w:p>
    <w:p>
      <w:pPr>
        <w:spacing w:after="120" w:before="0" w:line="276"/>
      </w:pPr>
      <w:r>
        <w:rPr>
          <w:rFonts w:ascii="Calibri" w:cs="Calibri" w:eastAsia="Calibri" w:hAnsi="Calibri"/>
          <w:color w:val="404040"/>
          <w:sz w:val="21"/>
          <w:szCs w:val="21"/>
        </w:rPr>
        <w:t xml:space="preserve">[ORGANIZATION NAME] is a [CUSTOMIZE: medical practice / clinic / small hospital / dental group / behavioral health practice] with [CUSTOMIZE: number] employees serving approximately [CUSTOMIZE: number] patients. The practice uses [CUSTOMIZE: EHR system name] for electronic health records and stores [CUSTOMIZE: scope of PHI — medical records, billing data, insurance information, prescription histories]. The IT environment is managed by [CUSTOMIZE: internal IT / MSP / EHR vendor].</w:t>
      </w:r>
    </w:p>
    <w:p>
      <w:pPr>
        <w:spacing w:after="120" w:before="0" w:line="276"/>
      </w:pPr>
      <w:r>
        <w:rPr>
          <w:rFonts w:ascii="Calibri" w:cs="Calibri" w:eastAsia="Calibri" w:hAnsi="Calibri"/>
          <w:color w:val="404040"/>
          <w:sz w:val="21"/>
          <w:szCs w:val="21"/>
        </w:rPr>
        <w:t xml:space="preserve">It is [CUSTOMIZE: day] at 11:30 AM. The front desk staff reports that the EHR system is frozen. Multiple workstations display a ransom note. Patient check-in has stopped. The afternoon's scheduled appointments are in jeopardy.</w:t>
      </w:r>
    </w:p>
    <w:p>
      <w:pPr>
        <w:pStyle w:val="Heading2"/>
        <w:keepNext/>
        <w:spacing w:after="110" w:before="240"/>
      </w:pPr>
      <w:r>
        <w:rPr>
          <w:rFonts w:ascii="Calibri" w:cs="Calibri" w:eastAsia="Calibri" w:hAnsi="Calibri"/>
          <w:b/>
          <w:bCs/>
          <w:color w:val="2E74B5"/>
          <w:sz w:val="25"/>
          <w:szCs w:val="25"/>
        </w:rPr>
        <w:t xml:space="preserve">Module 1: Clinical Impact and Patient Safety (25–30 minutes)</w:t>
      </w:r>
    </w:p>
    <w:p>
      <w:pPr>
        <w:spacing w:after="120" w:before="0" w:line="276"/>
      </w:pPr>
      <w:r>
        <w:rPr>
          <w:rFonts w:ascii="Calibri" w:cs="Calibri" w:eastAsia="Calibri" w:hAnsi="Calibri"/>
          <w:color w:val="404040"/>
          <w:sz w:val="21"/>
          <w:szCs w:val="21"/>
        </w:rPr>
        <w:t xml:space="preserve">The exercise opens at the moment of discovery: the EHR is frozen, ransom notes are on screen, patient check-in has stopped, and the afternoon schedule is in jeopardy. Participants must make immediate patient-safety and escalation decisions with incomplete information.</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Discussion questions:</w:t>
      </w:r>
      <w:r>
        <w:rPr>
          <w:rFonts w:ascii="Calibri" w:cs="Calibri" w:eastAsia="Calibri" w:hAnsi="Calibri"/>
          <w:color w:val="404040"/>
          <w:sz w:val="21"/>
          <w:szCs w:val="21"/>
        </w:rPr>
        <w:t xml:space="preserve"/>
      </w:r>
    </w:p>
    <w:p>
      <w:pPr>
        <w:pStyle w:val="ListParagraph"/>
        <w:numPr>
          <w:ilvl w:val="0"/>
          <w:numId w:val="2"/>
        </w:numPr>
        <w:spacing w:after="80" w:line="276"/>
      </w:pPr>
      <w:r>
        <w:rPr>
          <w:rFonts w:ascii="Calibri" w:cs="Calibri" w:eastAsia="Calibri" w:hAnsi="Calibri"/>
          <w:color w:val="404040"/>
          <w:sz w:val="21"/>
          <w:szCs w:val="21"/>
        </w:rPr>
        <w:t xml:space="preserve">Patient safety first: can you safely see patients without access to their electronic records? What is the threshold for canceling vs. continuing?</w:t>
      </w:r>
    </w:p>
    <w:p>
      <w:pPr>
        <w:pStyle w:val="ListParagraph"/>
        <w:numPr>
          <w:ilvl w:val="0"/>
          <w:numId w:val="2"/>
        </w:numPr>
        <w:spacing w:after="80" w:line="276"/>
      </w:pPr>
      <w:r>
        <w:rPr>
          <w:rFonts w:ascii="Calibri" w:cs="Calibri" w:eastAsia="Calibri" w:hAnsi="Calibri"/>
          <w:color w:val="404040"/>
          <w:sz w:val="21"/>
          <w:szCs w:val="21"/>
        </w:rPr>
        <w:t xml:space="preserve">The attacker claims to have downloaded patient records. Do you take them at their word? How do you verify?</w:t>
      </w:r>
    </w:p>
    <w:p>
      <w:pPr>
        <w:pStyle w:val="ListParagraph"/>
        <w:numPr>
          <w:ilvl w:val="0"/>
          <w:numId w:val="2"/>
        </w:numPr>
        <w:spacing w:after="80" w:line="276"/>
      </w:pPr>
      <w:r>
        <w:rPr>
          <w:rFonts w:ascii="Calibri" w:cs="Calibri" w:eastAsia="Calibri" w:hAnsi="Calibri"/>
          <w:color w:val="404040"/>
          <w:sz w:val="21"/>
          <w:szCs w:val="21"/>
        </w:rPr>
        <w:t xml:space="preserve">If this is a breach of unsecured PHI, the 60-day HIPAA notification clock may have started. Who in this room knows the notification requirements?</w:t>
      </w:r>
    </w:p>
    <w:p>
      <w:pPr>
        <w:pStyle w:val="ListParagraph"/>
        <w:numPr>
          <w:ilvl w:val="0"/>
          <w:numId w:val="2"/>
        </w:numPr>
        <w:spacing w:after="80" w:line="276"/>
      </w:pPr>
      <w:r>
        <w:rPr>
          <w:rFonts w:ascii="Calibri" w:cs="Calibri" w:eastAsia="Calibri" w:hAnsi="Calibri"/>
          <w:color w:val="404040"/>
          <w:sz w:val="21"/>
          <w:szCs w:val="21"/>
        </w:rPr>
        <w:t xml:space="preserve">Do you have paper backup procedures for clinical operations? When was the last time they were used?</w:t>
      </w:r>
    </w:p>
    <w:p>
      <w:pPr>
        <w:pStyle w:val="ListParagraph"/>
        <w:numPr>
          <w:ilvl w:val="0"/>
          <w:numId w:val="2"/>
        </w:numPr>
        <w:spacing w:after="80" w:line="276"/>
      </w:pPr>
      <w:r>
        <w:rPr>
          <w:rFonts w:ascii="Calibri" w:cs="Calibri" w:eastAsia="Calibri" w:hAnsi="Calibri"/>
          <w:color w:val="404040"/>
          <w:sz w:val="21"/>
          <w:szCs w:val="21"/>
        </w:rPr>
        <w:t xml:space="preserve">Who needs to know about this immediately — inside the practice and outside it? Who makes that call?</w:t>
      </w:r>
    </w:p>
    <w:p>
      <w:pPr>
        <w:pStyle w:val="Heading2"/>
        <w:keepNext/>
        <w:spacing w:after="110" w:before="240"/>
      </w:pPr>
      <w:r>
        <w:rPr>
          <w:rFonts w:ascii="Calibri" w:cs="Calibri" w:eastAsia="Calibri" w:hAnsi="Calibri"/>
          <w:b/>
          <w:bCs/>
          <w:color w:val="2E74B5"/>
          <w:sz w:val="25"/>
          <w:szCs w:val="25"/>
        </w:rPr>
        <w:t xml:space="preserve">Module 2: Regulatory Response and Business Continuity (25–30 minutes)</w:t>
      </w:r>
    </w:p>
    <w:p>
      <w:pPr>
        <w:spacing w:after="120" w:before="0" w:line="276"/>
      </w:pPr>
      <w:r>
        <w:rPr>
          <w:rFonts w:ascii="Calibri" w:cs="Calibri" w:eastAsia="Calibri" w:hAnsi="Calibri"/>
          <w:color w:val="404040"/>
          <w:sz w:val="21"/>
          <w:szCs w:val="21"/>
        </w:rPr>
        <w:t xml:space="preserve">The immediate clinical decisions have been made; now the regulatory and financial pressure builds. Participants must engage outside help, manage patient questions, and confront the revenue impact of a multi-day outage.</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Discussion questions:</w:t>
      </w:r>
      <w:r>
        <w:rPr>
          <w:rFonts w:ascii="Calibri" w:cs="Calibri" w:eastAsia="Calibri" w:hAnsi="Calibri"/>
          <w:color w:val="404040"/>
          <w:sz w:val="21"/>
          <w:szCs w:val="21"/>
        </w:rPr>
        <w:t xml:space="preserve"/>
      </w:r>
    </w:p>
    <w:p>
      <w:pPr>
        <w:pStyle w:val="ListParagraph"/>
        <w:numPr>
          <w:ilvl w:val="0"/>
          <w:numId w:val="2"/>
        </w:numPr>
        <w:spacing w:after="80" w:line="276"/>
      </w:pPr>
      <w:r>
        <w:rPr>
          <w:rFonts w:ascii="Calibri" w:cs="Calibri" w:eastAsia="Calibri" w:hAnsi="Calibri"/>
          <w:color w:val="404040"/>
          <w:sz w:val="21"/>
          <w:szCs w:val="21"/>
        </w:rPr>
        <w:t xml:space="preserve">You need a forensic investigation to determine HIPAA breach scope, but that takes time and money. What do you do right now?</w:t>
      </w:r>
    </w:p>
    <w:p>
      <w:pPr>
        <w:pStyle w:val="ListParagraph"/>
        <w:numPr>
          <w:ilvl w:val="0"/>
          <w:numId w:val="2"/>
        </w:numPr>
        <w:spacing w:after="80" w:line="276"/>
      </w:pPr>
      <w:r>
        <w:rPr>
          <w:rFonts w:ascii="Calibri" w:cs="Calibri" w:eastAsia="Calibri" w:hAnsi="Calibri"/>
          <w:color w:val="404040"/>
          <w:sz w:val="21"/>
          <w:szCs w:val="21"/>
        </w:rPr>
        <w:t xml:space="preserve">Patients are asking if their data is safe. What is your honest answer? What are you legally permitted to say?</w:t>
      </w:r>
    </w:p>
    <w:p>
      <w:pPr>
        <w:pStyle w:val="ListParagraph"/>
        <w:numPr>
          <w:ilvl w:val="0"/>
          <w:numId w:val="2"/>
        </w:numPr>
        <w:spacing w:after="80" w:line="276"/>
      </w:pPr>
      <w:r>
        <w:rPr>
          <w:rFonts w:ascii="Calibri" w:cs="Calibri" w:eastAsia="Calibri" w:hAnsi="Calibri"/>
          <w:color w:val="404040"/>
          <w:sz w:val="21"/>
          <w:szCs w:val="21"/>
        </w:rPr>
        <w:t xml:space="preserve">Revenue is stopped. How many days can the practice sustain zero billing before it affects payroll, rent, or loan covenants?</w:t>
      </w:r>
    </w:p>
    <w:p>
      <w:pPr>
        <w:pStyle w:val="ListParagraph"/>
        <w:numPr>
          <w:ilvl w:val="0"/>
          <w:numId w:val="2"/>
        </w:numPr>
        <w:spacing w:after="80" w:line="276"/>
      </w:pPr>
      <w:r>
        <w:rPr>
          <w:rFonts w:ascii="Calibri" w:cs="Calibri" w:eastAsia="Calibri" w:hAnsi="Calibri"/>
          <w:color w:val="404040"/>
          <w:sz w:val="21"/>
          <w:szCs w:val="21"/>
        </w:rPr>
        <w:t xml:space="preserve">If you determine this is a notifiable breach, who drafts the notification letters? Do you have templates? Do you have legal counsel experienced in HIPAA breach notification?</w:t>
      </w:r>
    </w:p>
    <w:p>
      <w:pPr>
        <w:pStyle w:val="ListParagraph"/>
        <w:numPr>
          <w:ilvl w:val="0"/>
          <w:numId w:val="2"/>
        </w:numPr>
        <w:spacing w:after="80" w:line="276"/>
      </w:pPr>
      <w:r>
        <w:rPr>
          <w:rFonts w:ascii="Calibri" w:cs="Calibri" w:eastAsia="Calibri" w:hAnsi="Calibri"/>
          <w:color w:val="404040"/>
          <w:sz w:val="21"/>
          <w:szCs w:val="21"/>
        </w:rPr>
        <w:t xml:space="preserve">Who is coordinating with the EHR vendor, and what exactly do you need from them — restoration, log data, or both?</w:t>
      </w:r>
    </w:p>
    <w:p>
      <w:pPr>
        <w:pStyle w:val="Heading2"/>
        <w:keepNext/>
        <w:spacing w:after="110" w:before="240"/>
      </w:pPr>
      <w:r>
        <w:rPr>
          <w:rFonts w:ascii="Calibri" w:cs="Calibri" w:eastAsia="Calibri" w:hAnsi="Calibri"/>
          <w:b/>
          <w:bCs/>
          <w:color w:val="2E74B5"/>
          <w:sz w:val="25"/>
          <w:szCs w:val="25"/>
        </w:rPr>
        <w:t xml:space="preserve">Module 3: Recovery and Notification Decisions (25–30 minutes)</w:t>
      </w:r>
    </w:p>
    <w:p>
      <w:pPr>
        <w:spacing w:after="120" w:before="0" w:line="276"/>
      </w:pPr>
      <w:r>
        <w:rPr>
          <w:rFonts w:ascii="Calibri" w:cs="Calibri" w:eastAsia="Calibri" w:hAnsi="Calibri"/>
          <w:color w:val="404040"/>
          <w:sz w:val="21"/>
          <w:szCs w:val="21"/>
        </w:rPr>
        <w:t xml:space="preserve">The forensic picture is now clear and the notification obligation is real. Participants must execute a notification process most organizations have never practiced, and translate the incident into prevention decisions.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Discussion questions:</w:t>
      </w:r>
      <w:r>
        <w:rPr>
          <w:rFonts w:ascii="Calibri" w:cs="Calibri" w:eastAsia="Calibri" w:hAnsi="Calibri"/>
          <w:color w:val="404040"/>
          <w:sz w:val="21"/>
          <w:szCs w:val="21"/>
        </w:rPr>
        <w:t xml:space="preserve"/>
      </w:r>
    </w:p>
    <w:p>
      <w:pPr>
        <w:pStyle w:val="ListParagraph"/>
        <w:numPr>
          <w:ilvl w:val="0"/>
          <w:numId w:val="2"/>
        </w:numPr>
        <w:spacing w:after="80" w:line="276"/>
      </w:pPr>
      <w:r>
        <w:rPr>
          <w:rFonts w:ascii="Calibri" w:cs="Calibri" w:eastAsia="Calibri" w:hAnsi="Calibri"/>
          <w:color w:val="404040"/>
          <w:sz w:val="21"/>
          <w:szCs w:val="21"/>
        </w:rPr>
        <w:t xml:space="preserve">You now know patient data was stolen. Walk through the notification process step by step. Who does what?</w:t>
      </w:r>
    </w:p>
    <w:p>
      <w:pPr>
        <w:pStyle w:val="ListParagraph"/>
        <w:numPr>
          <w:ilvl w:val="0"/>
          <w:numId w:val="2"/>
        </w:numPr>
        <w:spacing w:after="80" w:line="276"/>
      </w:pPr>
      <w:r>
        <w:rPr>
          <w:rFonts w:ascii="Calibri" w:cs="Calibri" w:eastAsia="Calibri" w:hAnsi="Calibri"/>
          <w:color w:val="404040"/>
          <w:sz w:val="21"/>
          <w:szCs w:val="21"/>
        </w:rPr>
        <w:t xml:space="preserve">Do you offer credit monitoring to affected patients? Who pays for it? What is the estimated cost?</w:t>
      </w:r>
    </w:p>
    <w:p>
      <w:pPr>
        <w:pStyle w:val="ListParagraph"/>
        <w:numPr>
          <w:ilvl w:val="0"/>
          <w:numId w:val="2"/>
        </w:numPr>
        <w:spacing w:after="80" w:line="276"/>
      </w:pPr>
      <w:r>
        <w:rPr>
          <w:rFonts w:ascii="Calibri" w:cs="Calibri" w:eastAsia="Calibri" w:hAnsi="Calibri"/>
          <w:color w:val="404040"/>
          <w:sz w:val="21"/>
          <w:szCs w:val="21"/>
        </w:rPr>
        <w:t xml:space="preserve">The attacker had access for weeks before the ransomware deployed. What does that mean for your security posture?</w:t>
      </w:r>
    </w:p>
    <w:p>
      <w:pPr>
        <w:pStyle w:val="ListParagraph"/>
        <w:numPr>
          <w:ilvl w:val="0"/>
          <w:numId w:val="2"/>
        </w:numPr>
        <w:spacing w:after="80" w:line="276"/>
      </w:pPr>
      <w:r>
        <w:rPr>
          <w:rFonts w:ascii="Calibri" w:cs="Calibri" w:eastAsia="Calibri" w:hAnsi="Calibri"/>
          <w:color w:val="404040"/>
          <w:sz w:val="21"/>
          <w:szCs w:val="21"/>
        </w:rPr>
        <w:t xml:space="preserve">What would you invest in tomorrow to prevent a recurrence?</w:t>
      </w:r>
    </w:p>
    <w:p>
      <w:pPr>
        <w:pStyle w:val="ListParagraph"/>
        <w:numPr>
          <w:ilvl w:val="0"/>
          <w:numId w:val="2"/>
        </w:numPr>
        <w:spacing w:after="80" w:line="276"/>
      </w:pPr>
      <w:r>
        <w:rPr>
          <w:rFonts w:ascii="Calibri" w:cs="Calibri" w:eastAsia="Calibri" w:hAnsi="Calibri"/>
          <w:color w:val="404040"/>
          <w:sz w:val="21"/>
          <w:szCs w:val="21"/>
        </w:rPr>
        <w:t xml:space="preserve">What does the first communication to your staff after this incident say — and what do you want patients to hear from your team, in one sentence?</w:t>
      </w:r>
    </w:p>
    <w:p>
      <w:r>
        <w:br w:type="page"/>
      </w:r>
    </w:p>
    <w:p>
      <w:pPr>
        <w:pStyle w:val="Heading1"/>
        <w:keepNext/>
        <w:spacing w:after="140" w:before="320"/>
      </w:pPr>
      <w:r>
        <w:rPr>
          <w:rFonts w:ascii="Calibri" w:cs="Calibri" w:eastAsia="Calibri" w:hAnsi="Calibri"/>
          <w:b/>
          <w:bCs/>
          <w:color w:val="1F3864"/>
          <w:sz w:val="30"/>
          <w:szCs w:val="30"/>
        </w:rPr>
        <w:t xml:space="preserve">Master Scenario Events List (MSEL)</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1: EHR System Encrypted</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The EHR system is inaccessible across all workstations. Patient records, medication lists, allergy information, and appointment schedules are unavailable. The practice has [CUSTOMIZE: 15–40] patients scheduled this afternoon, including [CUSTOMIZE: 2–3 patients requiring procedures / medication refills / time-sensitive follow-ups]. A patient in the waiting room has a known drug allergy documented only in the electronic record.</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2: Ransom Demand and PHI Questions</w:t>
      </w:r>
      <w:r>
        <w:rPr>
          <w:rFonts w:ascii="Calibri" w:cs="Calibri" w:eastAsia="Calibri" w:hAnsi="Calibri"/>
          <w:color w:val="404040"/>
          <w:sz w:val="21"/>
          <w:szCs w:val="21"/>
        </w:rPr>
        <w:t xml:space="preserve"/>
      </w:r>
    </w:p>
    <w:p>
      <w:pPr>
        <w:keepNext/>
        <w:spacing w:after="120" w:before="0" w:line="276"/>
      </w:pPr>
      <w:r>
        <w:rPr>
          <w:rFonts w:ascii="Calibri" w:cs="Calibri" w:eastAsia="Calibri" w:hAnsi="Calibri"/>
          <w:color w:val="404040"/>
          <w:sz w:val="21"/>
          <w:szCs w:val="21"/>
        </w:rPr>
        <w:t xml:space="preserve">The ransom note demands [CUSTOMIZE: $100,000–$300,000] in cryptocurrency. It states: “We have accessed and downloaded your patient records. Pay within 48 hours or we publish them.” The IT contact asks: “Does this mean we've had a data breach? Is this a HIPAA violation? Who do we need to report this to?” The full text of the note, as displayed on every affected workstation:</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9360"/>
      </w:tblGrid>
      <w:tr>
        <w:tc>
          <w:tcPr>
            <w:tcW w:type="dxa" w:w="9360"/>
            <w:shd w:fill="595959" w:val="clear"/>
            <w:tcMar>
              <w:top w:type="dxa" w:w="80"/>
              <w:left w:type="dxa" w:w="160"/>
              <w:bottom w:type="dxa" w:w="80"/>
              <w:right w:type="dxa" w:w="160"/>
            </w:tcMar>
          </w:tcPr>
          <w:p>
            <w:pPr>
              <w:spacing w:after="0"/>
            </w:pPr>
            <w:r>
              <w:rPr>
                <w:rFonts w:ascii="Calibri" w:cs="Calibri" w:eastAsia="Calibri" w:hAnsi="Calibri"/>
                <w:b/>
                <w:bCs/>
                <w:color w:val="FFFFFF"/>
                <w:sz w:val="20"/>
                <w:szCs w:val="20"/>
              </w:rPr>
              <w:t xml:space="preserve">SIMULATED ARTIFACT — Ransom Note (Displayed on Affected Workstations)</w:t>
            </w:r>
          </w:p>
        </w:tc>
      </w:tr>
      <w:tr>
        <w:tc>
          <w:tcPr>
            <w:tcW w:type="dxa" w:w="9360"/>
            <w:shd w:fill="FAFAFA" w:val="clear"/>
            <w:tcMar>
              <w:top w:type="dxa" w:w="120"/>
              <w:left w:type="dxa" w:w="200"/>
              <w:bottom w:type="dxa" w:w="120"/>
              <w:right w:type="dxa" w:w="200"/>
            </w:tcMar>
          </w:tcPr>
          <w:p>
            <w:pPr>
              <w:spacing w:after="60"/>
            </w:pPr>
            <w:r>
              <w:rPr>
                <w:rFonts w:ascii="Consolas" w:cs="Consolas" w:eastAsia="Consolas" w:hAnsi="Consolas"/>
                <w:color w:val="404040"/>
                <w:sz w:val="19"/>
                <w:szCs w:val="19"/>
              </w:rPr>
              <w:t xml:space="preserve">YOUR NETWORK HAS BEEN ENCRYPTED</w:t>
            </w:r>
          </w:p>
          <w:p>
            <w:pPr>
              <w:spacing w:after="60"/>
            </w:pPr>
            <w:r>
              <w:rPr>
                <w:rFonts w:ascii="Consolas" w:cs="Consolas" w:eastAsia="Consolas" w:hAnsi="Consolas"/>
                <w:color w:val="404040"/>
                <w:sz w:val="19"/>
                <w:szCs w:val="19"/>
              </w:rPr>
              <w:t xml:space="preserve">All medical records systems, file servers, and connected backups have been encrypted. We have downloaded [CUSTOMIZE: number] patient records including medical histories, Social Security numbers, insurance details, and billing files.</w:t>
            </w:r>
          </w:p>
          <w:p>
            <w:pPr>
              <w:spacing w:after="60"/>
            </w:pPr>
            <w:r>
              <w:rPr>
                <w:rFonts w:ascii="Consolas" w:cs="Consolas" w:eastAsia="Consolas" w:hAnsi="Consolas"/>
                <w:color w:val="404040"/>
                <w:sz w:val="19"/>
                <w:szCs w:val="19"/>
              </w:rPr>
              <w:t xml:space="preserve">To receive the decryption key, transfer [CUSTOMIZE: amount] in Bitcoin to the following wallet address within 48 hours: [WALLET ADDRESS]</w:t>
            </w:r>
          </w:p>
          <w:p>
            <w:pPr>
              <w:spacing w:after="60"/>
            </w:pPr>
            <w:r>
              <w:rPr>
                <w:rFonts w:ascii="Consolas" w:cs="Consolas" w:eastAsia="Consolas" w:hAnsi="Consolas"/>
                <w:color w:val="404040"/>
                <w:sz w:val="19"/>
                <w:szCs w:val="19"/>
              </w:rPr>
              <w:t xml:space="preserve">If you do not pay, the records will be published and sold. Your patients will be notified that you failed to protect them. Regulators and journalists will also be notified.</w:t>
            </w:r>
          </w:p>
          <w:p>
            <w:pPr>
              <w:spacing w:after="60"/>
            </w:pPr>
            <w:r>
              <w:rPr>
                <w:rFonts w:ascii="Consolas" w:cs="Consolas" w:eastAsia="Consolas" w:hAnsi="Consolas"/>
                <w:color w:val="404040"/>
                <w:sz w:val="19"/>
                <w:szCs w:val="19"/>
              </w:rPr>
              <w:t xml:space="preserve">Do not contact law enforcement. Do not attempt recovery yourself. Do not shut down your systems.</w:t>
            </w:r>
          </w:p>
          <w:p>
            <w:pPr>
              <w:spacing w:after="60"/>
            </w:pPr>
            <w:r>
              <w:rPr>
                <w:rFonts w:ascii="Consolas" w:cs="Consolas" w:eastAsia="Consolas" w:hAnsi="Consolas"/>
                <w:color w:val="404040"/>
                <w:sz w:val="19"/>
                <w:szCs w:val="19"/>
              </w:rPr>
              <w:t xml:space="preserve">Contact us at: [EMAIL ADDRESS ON ENCRYPTED MESSAGING SERVICE]</w:t>
            </w:r>
          </w:p>
          <w:p>
            <w:pPr>
              <w:spacing w:after="60"/>
            </w:pPr>
            <w:r>
              <w:rPr>
                <w:rFonts w:ascii="Consolas" w:cs="Consolas" w:eastAsia="Consolas" w:hAnsi="Consolas"/>
                <w:color w:val="404040"/>
                <w:sz w:val="19"/>
                <w:szCs w:val="19"/>
              </w:rPr>
              <w:t xml:space="preserve">This is a business transaction. Pay promptly and your practice resumes operations today.</w:t>
            </w:r>
          </w:p>
        </w:tc>
      </w:tr>
    </w:tbl>
    <w:p>
      <w:pPr>
        <w:spacing w:after="120"/>
      </w:pP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3: Immediate Patient Decisions</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The clinical director asks: “Do we cancel this afternoon's patients? We can't verify allergies, medications, or medical histories without the EHR. I'm not comfortable treating patients from memory. But canceling means [CUSTOMIZE: specific patient impact — rescheduling a procedure that took weeks to schedule, delaying cancer screening results, missing a medication window].”</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 — Facilitator Note — Module 1</w:t>
            </w:r>
          </w:p>
          <w:p>
            <w:pPr>
              <w:spacing w:after="40" w:before="0" w:line="276"/>
            </w:pPr>
            <w:r>
              <w:rPr>
                <w:rFonts w:ascii="Calibri" w:cs="Calibri" w:eastAsia="Calibri" w:hAnsi="Calibri"/>
                <w:color w:val="404040"/>
                <w:sz w:val="20"/>
                <w:szCs w:val="20"/>
              </w:rPr>
              <w:t xml:space="preserve">Listen for: Do participants separate the patient-safety decision from the IT recovery discussion? Who claims authority for the cancel-or-continue call — clinical or administrative leadership? Do paper backup procedures actually exist, and has anyone used them recently? Note whether the HIPAA 60-day clock surfaces unprompted; if the notification requirements are news to the room, document that uncertainty as a finding for the AAR.</w:t>
            </w:r>
          </w:p>
        </w:tc>
      </w:tr>
    </w:tbl>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4: The HIPAA Question Sharpens</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Your [compliance officer / practice administrator] asks: “If patient records were actually exfiltrated, we're looking at a HIPAA breach notification. But I need to know: how many patients are affected? What data was taken? Was it encrypted at rest? I can't answer any of these questions without a forensic investigation, and we don't have a forensics firm on retainer.”</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5: Billing and Revenue Impact</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The billing department reports: “We can't submit claims, process payments, or verify insurance eligibility. Every day this continues, we lose approximately $[CUSTOMIZE: amount] in revenue. Our clearinghouse is operational but we can't access our billing data. And if patients were seen today without proper documentation, those visits may not be billable.”</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6: Patient Calls Begin</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Patients are calling to ask about their appointments. Two patients ask: “Is my medical information safe? I saw something online about ransomware attacks on doctors' offices. Should I be worried about identity theft?” The front desk staff ask: “What do we tell them?”</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 — Facilitator Note — Module 2</w:t>
            </w:r>
          </w:p>
          <w:p>
            <w:pPr>
              <w:spacing w:after="40" w:before="0" w:line="276"/>
            </w:pPr>
            <w:r>
              <w:rPr>
                <w:rFonts w:ascii="Calibri" w:cs="Calibri" w:eastAsia="Calibri" w:hAnsi="Calibri"/>
                <w:color w:val="404040"/>
                <w:sz w:val="20"/>
                <w:szCs w:val="20"/>
              </w:rPr>
              <w:t xml:space="preserve">Listen for: forensic engagement readiness (do they have a firm, or even know how to find one), awareness of what staff are legally permitted to tell patients, whether anyone can quantify daily revenue exposure, and who owns front-desk messaging. If participants cannot say where PHI resides or estimate how many patients could be affected, document that uncertainty as a finding for the AAR.</w:t>
            </w:r>
          </w:p>
        </w:tc>
      </w:tr>
    </w:tbl>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7: Forensic Assessment</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A forensics firm (engaged 72 hours after the incident) provides a preliminary assessment: “The attacker had access to your network for approximately [CUSTOMIZE: 2–4 weeks] before deploying the ransomware. During that time, they accessed the EHR database and exfiltrated approximately [CUSTOMIZE: number] patient records including names, dates of birth, Social Security numbers, diagnoses, and insurance information. Your backups are [CUSTOMIZE: intact and recoverable within 48 hours / compromised and recovery timeline is unknown].”</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8: The Notification Decision</w:t>
      </w:r>
      <w:r>
        <w:rPr>
          <w:rFonts w:ascii="Calibri" w:cs="Calibri" w:eastAsia="Calibri" w:hAnsi="Calibri"/>
          <w:color w:val="404040"/>
          <w:sz w:val="21"/>
          <w:szCs w:val="21"/>
        </w:rPr>
        <w:t xml:space="preserve"/>
      </w:r>
    </w:p>
    <w:p>
      <w:pPr>
        <w:keepNext/>
        <w:spacing w:after="120" w:before="0" w:line="276"/>
      </w:pPr>
      <w:r>
        <w:rPr>
          <w:rFonts w:ascii="Calibri" w:cs="Calibri" w:eastAsia="Calibri" w:hAnsi="Calibri"/>
          <w:color w:val="404040"/>
          <w:sz w:val="21"/>
          <w:szCs w:val="21"/>
        </w:rPr>
        <w:t xml:space="preserve">Your legal counsel advises: “Based on the forensic assessment, this constitutes a breach of unsecured PHI under HIPAA. You are required to notify affected individuals within 60 days of discovery, notify HHS/OCR [within 60 days if 500+ affected / at year-end if fewer than 500], and notify prominent media in the state if 500+ individuals are affected. I also need to check state breach notification laws, which may impose shorter timelines. Have you ever done this before?” Counsel provides a reference card:</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9360"/>
      </w:tblGrid>
      <w:tr>
        <w:tc>
          <w:tcPr>
            <w:tcW w:type="dxa" w:w="9360"/>
            <w:shd w:fill="595959" w:val="clear"/>
            <w:tcMar>
              <w:top w:type="dxa" w:w="80"/>
              <w:left w:type="dxa" w:w="160"/>
              <w:bottom w:type="dxa" w:w="80"/>
              <w:right w:type="dxa" w:w="160"/>
            </w:tcMar>
          </w:tcPr>
          <w:p>
            <w:pPr>
              <w:spacing w:after="0"/>
            </w:pPr>
            <w:r>
              <w:rPr>
                <w:rFonts w:ascii="Calibri" w:cs="Calibri" w:eastAsia="Calibri" w:hAnsi="Calibri"/>
                <w:b/>
                <w:bCs/>
                <w:color w:val="FFFFFF"/>
                <w:sz w:val="20"/>
                <w:szCs w:val="20"/>
              </w:rPr>
              <w:t xml:space="preserve">SIMULATED ARTIFACT — HIPAA Breach Notification Requirements (Reference Card)</w:t>
            </w:r>
          </w:p>
        </w:tc>
      </w:tr>
      <w:tr>
        <w:tc>
          <w:tcPr>
            <w:tcW w:type="dxa" w:w="9360"/>
            <w:shd w:fill="FAFAFA" w:val="clear"/>
            <w:tcMar>
              <w:top w:type="dxa" w:w="120"/>
              <w:left w:type="dxa" w:w="200"/>
              <w:bottom w:type="dxa" w:w="120"/>
              <w:right w:type="dxa" w:w="200"/>
            </w:tcMar>
          </w:tcPr>
          <w:p>
            <w:pPr>
              <w:spacing w:after="60"/>
            </w:pPr>
            <w:r>
              <w:rPr>
                <w:rFonts w:ascii="Consolas" w:cs="Consolas" w:eastAsia="Consolas" w:hAnsi="Consolas"/>
                <w:color w:val="404040"/>
                <w:sz w:val="19"/>
                <w:szCs w:val="19"/>
              </w:rPr>
              <w:t xml:space="preserve"/>
            </w:r>
            <w:r>
              <w:rPr>
                <w:rFonts w:ascii="Consolas" w:cs="Consolas" w:eastAsia="Consolas" w:hAnsi="Consolas"/>
                <w:b/>
                <w:bCs/>
                <w:color w:val="404040"/>
                <w:sz w:val="19"/>
                <w:szCs w:val="19"/>
              </w:rPr>
              <w:t xml:space="preserve">INDIVIDUAL NOTIFICATION:</w:t>
            </w:r>
            <w:r>
              <w:rPr>
                <w:rFonts w:ascii="Consolas" w:cs="Consolas" w:eastAsia="Consolas" w:hAnsi="Consolas"/>
                <w:color w:val="404040"/>
                <w:sz w:val="19"/>
                <w:szCs w:val="19"/>
              </w:rPr>
              <w:t xml:space="preserve"> Written notice to each affected individual within 60 days of discovery. Must include: description of breach, types of information involved, steps individuals should take, what the organization is doing, and contact information.</w:t>
            </w:r>
          </w:p>
          <w:p>
            <w:pPr>
              <w:spacing w:after="60"/>
            </w:pPr>
            <w:r>
              <w:rPr>
                <w:rFonts w:ascii="Consolas" w:cs="Consolas" w:eastAsia="Consolas" w:hAnsi="Consolas"/>
                <w:color w:val="404040"/>
                <w:sz w:val="19"/>
                <w:szCs w:val="19"/>
              </w:rPr>
              <w:t xml:space="preserve"/>
            </w:r>
            <w:r>
              <w:rPr>
                <w:rFonts w:ascii="Consolas" w:cs="Consolas" w:eastAsia="Consolas" w:hAnsi="Consolas"/>
                <w:b/>
                <w:bCs/>
                <w:color w:val="404040"/>
                <w:sz w:val="19"/>
                <w:szCs w:val="19"/>
              </w:rPr>
              <w:t xml:space="preserve">HHS/OCR NOTIFICATION:</w:t>
            </w:r>
            <w:r>
              <w:rPr>
                <w:rFonts w:ascii="Consolas" w:cs="Consolas" w:eastAsia="Consolas" w:hAnsi="Consolas"/>
                <w:color w:val="404040"/>
                <w:sz w:val="19"/>
                <w:szCs w:val="19"/>
              </w:rPr>
              <w:t xml:space="preserve"> If 500+ individuals affected: notify HHS within 60 days via online portal. If fewer than 500: report to HHS within 60 days of calendar year end.</w:t>
            </w:r>
          </w:p>
          <w:p>
            <w:pPr>
              <w:spacing w:after="60"/>
            </w:pPr>
            <w:r>
              <w:rPr>
                <w:rFonts w:ascii="Consolas" w:cs="Consolas" w:eastAsia="Consolas" w:hAnsi="Consolas"/>
                <w:color w:val="404040"/>
                <w:sz w:val="19"/>
                <w:szCs w:val="19"/>
              </w:rPr>
              <w:t xml:space="preserve"/>
            </w:r>
            <w:r>
              <w:rPr>
                <w:rFonts w:ascii="Consolas" w:cs="Consolas" w:eastAsia="Consolas" w:hAnsi="Consolas"/>
                <w:b/>
                <w:bCs/>
                <w:color w:val="404040"/>
                <w:sz w:val="19"/>
                <w:szCs w:val="19"/>
              </w:rPr>
              <w:t xml:space="preserve">MEDIA NOTIFICATION:</w:t>
            </w:r>
            <w:r>
              <w:rPr>
                <w:rFonts w:ascii="Consolas" w:cs="Consolas" w:eastAsia="Consolas" w:hAnsi="Consolas"/>
                <w:color w:val="404040"/>
                <w:sz w:val="19"/>
                <w:szCs w:val="19"/>
              </w:rPr>
              <w:t xml:space="preserve"> If 500+ individuals in a single state or jurisdiction: notify prominent media outlets within 60 days.</w:t>
            </w:r>
          </w:p>
          <w:p>
            <w:pPr>
              <w:spacing w:after="60"/>
            </w:pPr>
            <w:r>
              <w:rPr>
                <w:rFonts w:ascii="Consolas" w:cs="Consolas" w:eastAsia="Consolas" w:hAnsi="Consolas"/>
                <w:color w:val="404040"/>
                <w:sz w:val="19"/>
                <w:szCs w:val="19"/>
              </w:rPr>
              <w:t xml:space="preserve"/>
            </w:r>
            <w:r>
              <w:rPr>
                <w:rFonts w:ascii="Consolas" w:cs="Consolas" w:eastAsia="Consolas" w:hAnsi="Consolas"/>
                <w:b/>
                <w:bCs/>
                <w:color w:val="404040"/>
                <w:sz w:val="19"/>
                <w:szCs w:val="19"/>
              </w:rPr>
              <w:t xml:space="preserve">STATE LAW:</w:t>
            </w:r>
            <w:r>
              <w:rPr>
                <w:rFonts w:ascii="Consolas" w:cs="Consolas" w:eastAsia="Consolas" w:hAnsi="Consolas"/>
                <w:color w:val="404040"/>
                <w:sz w:val="19"/>
                <w:szCs w:val="19"/>
              </w:rPr>
              <w:t xml:space="preserve"> Check state-specific breach notification requirements. Many states have shorter timelines and additional requirements.</w:t>
            </w:r>
          </w:p>
        </w:tc>
      </w:tr>
    </w:tbl>
    <w:p>
      <w:pPr>
        <w:spacing w:after="120"/>
      </w:pP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 — Facilitator Note — Module 3</w:t>
            </w:r>
          </w:p>
          <w:p>
            <w:pPr>
              <w:spacing w:after="40" w:before="0" w:line="276"/>
            </w:pPr>
            <w:r>
              <w:rPr>
                <w:rFonts w:ascii="Calibri" w:cs="Calibri" w:eastAsia="Calibri" w:hAnsi="Calibri"/>
                <w:color w:val="404040"/>
                <w:sz w:val="20"/>
                <w:szCs w:val="20"/>
              </w:rPr>
              <w:t xml:space="preserve">Listen for: whether notification steps get named owners and dates or stay abstract, whether costs (credit monitoring, legal counsel, mailing, call handling) are estimated, and how participants react to weeks of undetected attacker access. Document remaining uncertainty about backup integrity and notification execution as findings for the AAR.</w:t>
            </w:r>
          </w:p>
        </w:tc>
      </w:tr>
    </w:tbl>
    <w:p>
      <w:pPr>
        <w:pStyle w:val="Heading2"/>
        <w:keepNext/>
        <w:spacing w:after="110" w:before="240"/>
      </w:pPr>
      <w:r>
        <w:rPr>
          <w:rFonts w:ascii="Calibri" w:cs="Calibri" w:eastAsia="Calibri" w:hAnsi="Calibri"/>
          <w:b/>
          <w:bCs/>
          <w:color w:val="2E74B5"/>
          <w:sz w:val="25"/>
          <w:szCs w:val="25"/>
        </w:rPr>
        <w:t xml:space="preserve">MSEL Summary Table</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700"/>
        <w:gridCol w:w="800"/>
        <w:gridCol w:w="900"/>
        <w:gridCol w:w="1100"/>
        <w:gridCol w:w="2900"/>
        <w:gridCol w:w="2960"/>
      </w:tblGrid>
      <w:tr>
        <w:trPr>
          <w:tblHeader/>
        </w:trPr>
        <w:tc>
          <w:tcPr>
            <w:tcW w:type="dxa" w:w="7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Inject</w:t>
            </w:r>
          </w:p>
        </w:tc>
        <w:tc>
          <w:tcPr>
            <w:tcW w:type="dxa" w:w="8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Time</w:t>
            </w:r>
          </w:p>
        </w:tc>
        <w:tc>
          <w:tcPr>
            <w:tcW w:type="dxa" w:w="9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Module</w:t>
            </w:r>
          </w:p>
        </w:tc>
        <w:tc>
          <w:tcPr>
            <w:tcW w:type="dxa" w:w="11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Method</w:t>
            </w:r>
          </w:p>
        </w:tc>
        <w:tc>
          <w:tcPr>
            <w:tcW w:type="dxa" w:w="29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Content Summary</w:t>
            </w:r>
          </w:p>
        </w:tc>
        <w:tc>
          <w:tcPr>
            <w:tcW w:type="dxa" w:w="29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Expected Discussion</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+0:00</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2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EHR encrypted, patients waiting, allergy risk</w:t>
            </w:r>
          </w:p>
        </w:tc>
        <w:tc>
          <w:tcPr>
            <w:tcW w:type="dxa" w:w="2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Patient safety, clinical continuity</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+0:10</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1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Artifact</w:t>
            </w:r>
          </w:p>
        </w:tc>
        <w:tc>
          <w:tcPr>
            <w:tcW w:type="dxa" w:w="2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Ransom demand claims data exfiltration; full note displayed</w:t>
            </w:r>
          </w:p>
        </w:tc>
        <w:tc>
          <w:tcPr>
            <w:tcW w:type="dxa" w:w="2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PHI breach assessment, HIPAA awareness</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+0:25</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2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Cancel patients or continue without records?</w:t>
            </w:r>
          </w:p>
        </w:tc>
        <w:tc>
          <w:tcPr>
            <w:tcW w:type="dxa" w:w="2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Clinical risk tolerance, backup procedures</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4</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+0:35</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1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2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HIPAA scope: can't determine without forensics</w:t>
            </w:r>
          </w:p>
        </w:tc>
        <w:tc>
          <w:tcPr>
            <w:tcW w:type="dxa" w:w="2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Forensic engagement, regulatory timeline</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5</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+0:50</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2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Billing halted, daily revenue loss mounting</w:t>
            </w:r>
          </w:p>
        </w:tc>
        <w:tc>
          <w:tcPr>
            <w:tcW w:type="dxa" w:w="2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Financial impact, continuity decisions</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6</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+1:00</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1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2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Patients calling about data safety</w:t>
            </w:r>
          </w:p>
        </w:tc>
        <w:tc>
          <w:tcPr>
            <w:tcW w:type="dxa" w:w="2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Patient communication, legal boundaries</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7</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+1:25</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2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Forensic assessment: data exfiltrated, scope defined</w:t>
            </w:r>
          </w:p>
        </w:tc>
        <w:tc>
          <w:tcPr>
            <w:tcW w:type="dxa" w:w="2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Breach confirmation, notification planning</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8</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+1:40</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c>
          <w:tcPr>
            <w:tcW w:type="dxa" w:w="1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Artifact</w:t>
            </w:r>
          </w:p>
        </w:tc>
        <w:tc>
          <w:tcPr>
            <w:tcW w:type="dxa" w:w="2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Legal: HIPAA notification required; reference card provided</w:t>
            </w:r>
          </w:p>
        </w:tc>
        <w:tc>
          <w:tcPr>
            <w:tcW w:type="dxa" w:w="2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Notification execution, resource allocation</w:t>
            </w:r>
          </w:p>
        </w:tc>
      </w:tr>
    </w:tbl>
    <w:p>
      <w:r>
        <w:br w:type="page"/>
      </w:r>
    </w:p>
    <w:p>
      <w:pPr>
        <w:pStyle w:val="Heading1"/>
        <w:keepNext/>
        <w:spacing w:after="140" w:before="320"/>
      </w:pPr>
      <w:r>
        <w:rPr>
          <w:rFonts w:ascii="Calibri" w:cs="Calibri" w:eastAsia="Calibri" w:hAnsi="Calibri"/>
          <w:b/>
          <w:bCs/>
          <w:color w:val="1F3864"/>
          <w:sz w:val="30"/>
          <w:szCs w:val="30"/>
        </w:rPr>
        <w:t xml:space="preserve">Facilitator Notes</w:t>
      </w:r>
    </w:p>
    <w:p>
      <w:pPr>
        <w:pStyle w:val="Heading2"/>
        <w:keepNext/>
        <w:spacing w:after="110" w:before="240"/>
      </w:pPr>
      <w:r>
        <w:rPr>
          <w:rFonts w:ascii="Calibri" w:cs="Calibri" w:eastAsia="Calibri" w:hAnsi="Calibri"/>
          <w:b/>
          <w:bCs/>
          <w:color w:val="2E74B5"/>
          <w:sz w:val="25"/>
          <w:szCs w:val="25"/>
        </w:rPr>
        <w:t xml:space="preserve">Framing Reminders</w:t>
      </w:r>
    </w:p>
    <w:p>
      <w:pPr>
        <w:spacing w:after="120" w:before="0" w:line="276"/>
      </w:pPr>
      <w:r>
        <w:rPr>
          <w:rFonts w:ascii="Calibri" w:cs="Calibri" w:eastAsia="Calibri" w:hAnsi="Calibri"/>
          <w:color w:val="404040"/>
          <w:sz w:val="21"/>
          <w:szCs w:val="21"/>
        </w:rPr>
        <w:t xml:space="preserve">This is a business response exercise, not a technical incident response exercise. Keep the discussion focused on decisions, communication, and coordination rather than technical containment procedures. When participants want to discuss technical details (network segmentation, endpoint detection, forensic analysis) or clinical-workflow mechanics (EHR failover architecture, e-prescribing workarounds), acknowledge the question and redirect: “That's an important technical question. For today's exercise, let's focus on the business decision: given that you don't have an immediate answer to that technical question, what do you do next?”</w:t>
      </w:r>
    </w:p>
    <w:p>
      <w:pPr>
        <w:pStyle w:val="Heading2"/>
        <w:keepNext/>
        <w:spacing w:after="110" w:before="240"/>
      </w:pPr>
      <w:r>
        <w:rPr>
          <w:rFonts w:ascii="Calibri" w:cs="Calibri" w:eastAsia="Calibri" w:hAnsi="Calibri"/>
          <w:b/>
          <w:bCs/>
          <w:color w:val="2E74B5"/>
          <w:sz w:val="25"/>
          <w:szCs w:val="25"/>
        </w:rPr>
        <w:t xml:space="preserve">Healthcare-Specific Facilitation Guidance</w:t>
      </w:r>
    </w:p>
    <w:p>
      <w:pPr>
        <w:spacing w:after="120" w:before="0" w:line="276"/>
      </w:pPr>
      <w:r>
        <w:rPr>
          <w:rFonts w:ascii="Calibri" w:cs="Calibri" w:eastAsia="Calibri" w:hAnsi="Calibri"/>
          <w:color w:val="404040"/>
          <w:sz w:val="21"/>
          <w:szCs w:val="21"/>
        </w:rPr>
        <w:t xml:space="preserve">Healthcare ransomware scenarios create unique emotional weight because patient safety is at stake. Frame containment decisions around clinical risk: “If you can't verify a patient's allergy list, what is the clinical threshold for proceeding?” This forces clinicians to articulate risk tolerance they may never have discussed explicitly.</w:t>
      </w:r>
    </w:p>
    <w:p>
      <w:pPr>
        <w:spacing w:after="120" w:before="0" w:line="276"/>
      </w:pPr>
      <w:r>
        <w:rPr>
          <w:rFonts w:ascii="Calibri" w:cs="Calibri" w:eastAsia="Calibri" w:hAnsi="Calibri"/>
          <w:color w:val="404040"/>
          <w:sz w:val="21"/>
          <w:szCs w:val="21"/>
        </w:rPr>
        <w:t xml:space="preserve">Non-clinical participants (billing, admin, HR) may defer to clinical staff. Actively invite their contributions: billing disruption and revenue cycle impact are findings with equal weight to clinical continuity gaps.</w:t>
      </w:r>
    </w:p>
    <w:p>
      <w:pPr>
        <w:pStyle w:val="Heading2"/>
        <w:keepNext/>
        <w:spacing w:after="110" w:before="240"/>
      </w:pPr>
      <w:r>
        <w:rPr>
          <w:rFonts w:ascii="Calibri" w:cs="Calibri" w:eastAsia="Calibri" w:hAnsi="Calibri"/>
          <w:b/>
          <w:bCs/>
          <w:color w:val="2E74B5"/>
          <w:sz w:val="25"/>
          <w:szCs w:val="25"/>
        </w:rPr>
        <w:t xml:space="preserve">Common Participant Responses and Probe Questions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700"/>
        <w:gridCol w:w="5660"/>
      </w:tblGrid>
      <w:tr>
        <w:trPr>
          <w:tblHeader/>
        </w:trPr>
        <w:tc>
          <w:tcPr>
            <w:tcW w:type="dxa" w:w="37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If Participants...</w:t>
            </w:r>
          </w:p>
        </w:tc>
        <w:tc>
          <w:tcPr>
            <w:tcW w:type="dxa" w:w="56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Probe With...</w:t>
            </w:r>
          </w:p>
        </w:tc>
      </w:tr>
      <w:tr>
        <w:tc>
          <w:tcPr>
            <w:tcW w:type="dxa" w:w="3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“We'd go to paper charting immediately”</w:t>
            </w:r>
          </w:p>
        </w:tc>
        <w:tc>
          <w:tcPr>
            <w:tcW w:type="dxa" w:w="56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“When was the last time your team practiced paper charting? Are the forms current? Where are they stored? Can you do e-prescribing on paper?”</w:t>
            </w:r>
          </w:p>
        </w:tc>
      </w:tr>
      <w:tr>
        <w:tc>
          <w:tcPr>
            <w:tcW w:type="dxa" w:w="3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“We'd cancel all patients”</w:t>
            </w:r>
          </w:p>
        </w:tc>
        <w:tc>
          <w:tcPr>
            <w:tcW w:type="dxa" w:w="56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“What about the patient mid-procedure? The patient whose lab results just came back critical? How do you reach patients who are already en route?”</w:t>
            </w:r>
          </w:p>
        </w:tc>
      </w:tr>
      <w:tr>
        <w:tc>
          <w:tcPr>
            <w:tcW w:type="dxa" w:w="3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“We'd call our IT vendor”</w:t>
            </w:r>
          </w:p>
        </w:tc>
        <w:tc>
          <w:tcPr>
            <w:tcW w:type="dxa" w:w="56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“Do you have their emergency number? What is their SLA for emergency response? What if they can't help with ransomware specifically?”</w:t>
            </w:r>
          </w:p>
        </w:tc>
      </w:tr>
      <w:tr>
        <w:tc>
          <w:tcPr>
            <w:tcW w:type="dxa" w:w="3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“HIPAA doesn't apply because we don't know if data was taken”</w:t>
            </w:r>
          </w:p>
        </w:tc>
        <w:tc>
          <w:tcPr>
            <w:tcW w:type="dxa" w:w="56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“HIPAA presumes a breach of unsecured PHI unless you can demonstrate low probability of compromise. Can you demonstrate that right now?”</w:t>
            </w:r>
          </w:p>
        </w:tc>
      </w:tr>
      <w:tr>
        <w:tc>
          <w:tcPr>
            <w:tcW w:type="dxa" w:w="3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Skip the ransom payment discussion entirely</w:t>
            </w:r>
          </w:p>
        </w:tc>
        <w:tc>
          <w:tcPr>
            <w:tcW w:type="dxa" w:w="56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“The note says pay or patient data gets published. That's a decision someone in this room will face. Who makes that call?”</w:t>
            </w:r>
          </w:p>
        </w:tc>
      </w:tr>
      <w:tr>
        <w:tc>
          <w:tcPr>
            <w:tcW w:type="dxa" w:w="3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Focus only on clinical impact, ignore billing</w:t>
            </w:r>
          </w:p>
        </w:tc>
        <w:tc>
          <w:tcPr>
            <w:tcW w:type="dxa" w:w="56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“Your billing department can't submit claims. How many days of zero revenue can this practice sustain before payroll is affected?”</w:t>
            </w:r>
          </w:p>
        </w:tc>
      </w:tr>
    </w:tbl>
    <w:p>
      <w:r>
        <w:br w:type="page"/>
      </w:r>
    </w:p>
    <w:p>
      <w:pPr>
        <w:pStyle w:val="Heading1"/>
        <w:keepNext/>
        <w:spacing w:after="140" w:before="320"/>
      </w:pPr>
      <w:r>
        <w:rPr>
          <w:rFonts w:ascii="Calibri" w:cs="Calibri" w:eastAsia="Calibri" w:hAnsi="Calibri"/>
          <w:b/>
          <w:bCs/>
          <w:color w:val="1F3864"/>
          <w:sz w:val="30"/>
          <w:szCs w:val="30"/>
        </w:rPr>
        <w:t xml:space="preserve">Customization Checklist</w:t>
      </w:r>
    </w:p>
    <w:p>
      <w:pPr>
        <w:spacing w:after="120" w:before="0" w:line="276"/>
      </w:pPr>
      <w:r>
        <w:rPr>
          <w:rFonts w:ascii="Calibri" w:cs="Calibri" w:eastAsia="Calibri" w:hAnsi="Calibri"/>
          <w:color w:val="404040"/>
          <w:sz w:val="21"/>
          <w:szCs w:val="21"/>
        </w:rPr>
        <w:t xml:space="preserve">Customize the following elements before delivery. All [CUSTOMIZE] tags in the narrative should be replaced with client-specific details.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2400"/>
        <w:gridCol w:w="3100"/>
        <w:gridCol w:w="3860"/>
      </w:tblGrid>
      <w:tr>
        <w:trPr>
          <w:tblHeader/>
        </w:trPr>
        <w:tc>
          <w:tcPr>
            <w:tcW w:type="dxa" w:w="24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Element</w:t>
            </w:r>
          </w:p>
        </w:tc>
        <w:tc>
          <w:tcPr>
            <w:tcW w:type="dxa" w:w="31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Default</w:t>
            </w:r>
          </w:p>
        </w:tc>
        <w:tc>
          <w:tcPr>
            <w:tcW w:type="dxa" w:w="38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Customize To</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Practice type</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Multi-provider outpatient medical practice</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Client's actual healthcare sub-type (medical, dental, behavioral health, urgent care)</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Patient volume</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15–40 patients scheduled per day</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Client's actual daily/weekly patient volume</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EHR system</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Generic hosted EHR platform</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Client's actual EHR platform</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PHI scope</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Medical records, billing data, insurance information</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Types of data actually stored (diagnoses, SSNs, insurance, prescriptions)</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IT management</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Small internal IT with vendor support</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Internal IT vs. MSP vs. EHR vendor-managed</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Ransom amount</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$150,000</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$100K–$300K scaled to practice size</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Affected patient count</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2,500 records</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Scale to practice size (500+ triggers media notification)</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Backup status</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Unknown</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Based on intake (intact vs. compromised)</w:t>
            </w:r>
          </w:p>
        </w:tc>
      </w:tr>
    </w:tbl>
    <w:p>
      <w:pPr>
        <w:spacing w:after="120"/>
      </w:pP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2E74B5" w:sz="24"/>
              <w:bottom w:val="none" w:color="FFFFFF" w:sz="0"/>
              <w:right w:val="none" w:color="FFFFFF" w:sz="0"/>
            </w:tcBorders>
            <w:shd w:fill="DEEBF7" w:val="clear"/>
            <w:tcMar>
              <w:top w:type="dxa" w:w="100"/>
              <w:left w:type="dxa" w:w="160"/>
              <w:bottom w:type="dxa" w:w="100"/>
              <w:right w:type="dxa" w:w="160"/>
            </w:tcMar>
          </w:tcPr>
          <w:p>
            <w:pPr>
              <w:spacing w:after="60"/>
            </w:pPr>
            <w:r>
              <w:rPr>
                <w:rFonts w:ascii="Calibri" w:cs="Calibri" w:eastAsia="Calibri" w:hAnsi="Calibri"/>
                <w:b/>
                <w:bCs/>
                <w:color w:val="2E74B5"/>
                <w:sz w:val="20"/>
                <w:szCs w:val="20"/>
              </w:rPr>
              <w:t xml:space="preserve">✎  CUSTOMIZE — Before Delivery</w:t>
            </w:r>
          </w:p>
          <w:p>
            <w:pPr>
              <w:spacing w:after="40" w:before="0" w:line="276"/>
            </w:pPr>
            <w:r>
              <w:rPr>
                <w:rFonts w:ascii="Calibri" w:cs="Calibri" w:eastAsia="Calibri" w:hAnsi="Calibri"/>
                <w:color w:val="404040"/>
                <w:sz w:val="20"/>
                <w:szCs w:val="20"/>
              </w:rPr>
              <w:t xml:space="preserve">Replace every [CUSTOMIZE] tag in the narrative and artifacts with client-specific detail from the Client Intake Packet. Verify internal consistency and plausibility. The scenario summary goes to the client for approval via Pre-Exercise Forms (02 - Contract folder), Form A.</w:t>
            </w:r>
          </w:p>
        </w:tc>
      </w:tr>
    </w:tbl>
    <w:p>
      <w:pPr>
        <w:spacing w:after="120"/>
      </w:pP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595959" w:sz="24"/>
              <w:bottom w:val="none" w:color="FFFFFF" w:sz="0"/>
              <w:right w:val="none" w:color="FFFFFF" w:sz="0"/>
            </w:tcBorders>
            <w:shd w:fill="F2F2F2" w:val="clear"/>
            <w:tcMar>
              <w:top w:type="dxa" w:w="100"/>
              <w:left w:type="dxa" w:w="160"/>
              <w:bottom w:type="dxa" w:w="100"/>
              <w:right w:type="dxa" w:w="160"/>
            </w:tcMar>
          </w:tcPr>
          <w:p>
            <w:pPr>
              <w:spacing w:after="60"/>
            </w:pPr>
            <w:r>
              <w:rPr>
                <w:rFonts w:ascii="Calibri" w:cs="Calibri" w:eastAsia="Calibri" w:hAnsi="Calibri"/>
                <w:b/>
                <w:bCs/>
                <w:color w:val="595959"/>
                <w:sz w:val="20"/>
                <w:szCs w:val="20"/>
              </w:rPr>
              <w:t xml:space="preserve">NOTE — Regulatory Reference Disclaimer</w:t>
            </w:r>
          </w:p>
          <w:p>
            <w:pPr>
              <w:spacing w:after="40" w:before="0" w:line="276"/>
            </w:pPr>
            <w:r>
              <w:rPr>
                <w:rFonts w:ascii="Calibri" w:cs="Calibri" w:eastAsia="Calibri" w:hAnsi="Calibri"/>
                <w:color w:val="404040"/>
                <w:sz w:val="20"/>
                <w:szCs w:val="20"/>
              </w:rPr>
              <w:t xml:space="preserve">Regulatory requirements, notification timelines, and compliance obligations referenced in this scenario are illustrative and based on information available at the time of scenario development (July 2026). They should not be relied upon as current legal guidance. Regulations, notification timelines, enforcement interpretations, and jurisdictional requirements change. Participants and clients should consult qualified legal counsel for current regulatory requirements applicable to their specific jurisdiction, industry, and circumstances.</w:t>
            </w:r>
          </w:p>
        </w:tc>
      </w:tr>
    </w:tbl>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595959"/>
        <w:sz w:val="17"/>
        <w:szCs w:val="17"/>
      </w:rPr>
      <w:t xml:space="preserve">v1.0  ·  Page </w:t>
    </w:r>
    <w:r>
      <w:rPr>
        <w:rFonts w:ascii="Calibri" w:cs="Calibri" w:eastAsia="Calibri" w:hAnsi="Calibri"/>
        <w:color w:val="595959"/>
        <w:sz w:val="17"/>
        <w:szCs w:val="17"/>
      </w:rPr>
      <w:fldChar w:fldCharType="begin"/>
      <w:instrText xml:space="preserve">PAGE</w:instrText>
      <w:fldChar w:fldCharType="separate"/>
      <w:fldChar w:fldCharType="end"/>
    </w:r>
    <w:r>
      <w:rPr>
        <w:rFonts w:ascii="Calibri" w:cs="Calibri" w:eastAsia="Calibri" w:hAnsi="Calibri"/>
        <w:color w:val="595959"/>
        <w:sz w:val="17"/>
        <w:szCs w:val="17"/>
      </w:rPr>
      <w:t xml:space="preserve"> of </w:t>
    </w:r>
    <w:r>
      <w:rPr>
        <w:rFonts w:ascii="Calibri" w:cs="Calibri" w:eastAsia="Calibri" w:hAnsi="Calibri"/>
        <w:color w:val="595959"/>
        <w:sz w:val="17"/>
        <w:szCs w:val="17"/>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3"/>
      </w:pBdr>
    </w:pPr>
    <w:r>
      <w:rPr>
        <w:rFonts w:ascii="Calibri" w:cs="Calibri" w:eastAsia="Calibri" w:hAnsi="Calibri"/>
        <w:color w:val="595959"/>
        <w:sz w:val="17"/>
        <w:szCs w:val="17"/>
      </w:rPr>
      <w:t xml:space="preserve">Business Resilience Pulse Check   |   GS-1a — Ransomware (Healthcare)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30"/>
      </w:pPr>
    </w:lvl>
  </w:abstractNum>
  <w:abstractNum w:abstractNumId="3" w15:restartNumberingAfterBreak="0">
    <w:multiLevelType w:val="hybridMultilevel"/>
    <w:lvl w:ilvl="0" w15:tentative="1">
      <w:start w:val="1"/>
      <w:numFmt w:val="decimal"/>
      <w:lvlText w:val="%1."/>
      <w:lvlJc w:val="left"/>
      <w:pPr>
        <w:ind w:left="460" w:hanging="320"/>
      </w:pPr>
    </w:lvl>
  </w:abstractNum>
  <w:abstractNum w:abstractNumId="4" w15:restartNumberingAfterBreak="0">
    <w:multiLevelType w:val="hybridMultilevel"/>
    <w:lvl w:ilvl="0" w15:tentative="1">
      <w:start w:val="1"/>
      <w:numFmt w:val="decimal"/>
      <w:lvlText w:val="%1."/>
      <w:lvlJc w:val="left"/>
      <w:pPr>
        <w:ind w:left="460" w:hanging="320"/>
      </w:pPr>
    </w:lvl>
  </w:abstractNum>
  <w:abstractNum w:abstractNumId="5" w15:restartNumberingAfterBreak="0">
    <w:multiLevelType w:val="hybridMultilevel"/>
    <w:lvl w:ilvl="0" w15:tentative="1">
      <w:start w:val="1"/>
      <w:numFmt w:val="decimal"/>
      <w:lvlText w:val="%1."/>
      <w:lvlJc w:val="left"/>
      <w:pPr>
        <w:ind w:left="460" w:hanging="320"/>
      </w:pPr>
    </w:lvl>
  </w:abstractNum>
  <w:abstractNum w:abstractNumId="6" w15:restartNumberingAfterBreak="0">
    <w:multiLevelType w:val="hybridMultilevel"/>
    <w:lvl w:ilvl="0" w15:tentative="1">
      <w:start w:val="1"/>
      <w:numFmt w:val="decimal"/>
      <w:lvlText w:val="%1."/>
      <w:lvlJc w:val="left"/>
      <w:pPr>
        <w:ind w:left="460" w:hanging="320"/>
      </w:pPr>
    </w:lvl>
  </w:abstractNum>
  <w:abstractNum w:abstractNumId="7" w15:restartNumberingAfterBreak="0">
    <w:multiLevelType w:val="hybridMultilevel"/>
    <w:lvl w:ilvl="0" w15:tentative="1">
      <w:start w:val="1"/>
      <w:numFmt w:val="decimal"/>
      <w:lvlText w:val="%1."/>
      <w:lvlJc w:val="left"/>
      <w:pPr>
        <w:ind w:left="460" w:hanging="320"/>
      </w:pPr>
    </w:lvl>
  </w:abstractNum>
  <w:abstractNum w:abstractNumId="8" w15:restartNumberingAfterBreak="0">
    <w:multiLevelType w:val="hybridMultilevel"/>
    <w:lvl w:ilvl="0" w15:tentative="1">
      <w:start w:val="1"/>
      <w:numFmt w:val="decimal"/>
      <w:lvlText w:val="%1."/>
      <w:lvlJc w:val="left"/>
      <w:pPr>
        <w:ind w:left="460" w:hanging="320"/>
      </w:pPr>
    </w:lvl>
  </w:abstractNum>
  <w:abstractNum w:abstractNumId="9" w15:restartNumberingAfterBreak="0">
    <w:multiLevelType w:val="hybridMultilevel"/>
    <w:lvl w:ilvl="0" w15:tentative="1">
      <w:start w:val="1"/>
      <w:numFmt w:val="decimal"/>
      <w:lvlText w:val="%1."/>
      <w:lvlJc w:val="left"/>
      <w:pPr>
        <w:ind w:left="460" w:hanging="320"/>
      </w:pPr>
    </w:lvl>
  </w:abstractNum>
  <w:abstractNum w:abstractNumId="10" w15:restartNumberingAfterBreak="0">
    <w:multiLevelType w:val="hybridMultilevel"/>
    <w:lvl w:ilvl="0" w15:tentative="1">
      <w:start w:val="1"/>
      <w:numFmt w:val="decimal"/>
      <w:lvlText w:val="%1."/>
      <w:lvlJc w:val="left"/>
      <w:pPr>
        <w:ind w:left="460" w:hanging="32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404040"/>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outlineLvl w:val="0"/>
    </w:pPr>
    <w:rPr>
      <w:rFonts w:ascii="Calibri" w:cs="Calibri" w:eastAsia="Calibri" w:hAnsi="Calibri"/>
      <w:b/>
      <w:bCs/>
      <w:color w:val="1F3864"/>
      <w:sz w:val="30"/>
      <w:szCs w:val="30"/>
    </w:rPr>
  </w:style>
  <w:style w:type="paragraph" w:styleId="Heading2">
    <w:name w:val="Heading 2"/>
    <w:basedOn w:val="Normal"/>
    <w:next w:val="Normal"/>
    <w:qFormat/>
    <w:pPr>
      <w:outlineLvl w:val="1"/>
    </w:pPr>
    <w:rPr>
      <w:rFonts w:ascii="Calibri" w:cs="Calibri" w:eastAsia="Calibri" w:hAnsi="Calibri"/>
      <w:b/>
      <w:bCs/>
      <w:color w:val="2E74B5"/>
      <w:sz w:val="25"/>
      <w:szCs w:val="25"/>
    </w:rPr>
  </w:style>
  <w:style w:type="paragraph" w:styleId="Heading3">
    <w:name w:val="Heading 3"/>
    <w:basedOn w:val="Normal"/>
    <w:next w:val="Normal"/>
    <w:qFormat/>
    <w:pPr>
      <w:outlineLvl w:val="2"/>
    </w:pPr>
    <w:rPr>
      <w:rFonts w:ascii="Calibri" w:cs="Calibri" w:eastAsia="Calibri" w:hAnsi="Calibri"/>
      <w:b/>
      <w:bCs/>
      <w:color w:val="1F3864"/>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2026-07-14T20:00:18.695Z</dcterms:created>
  <dcterms:modified xsi:type="dcterms:W3CDTF">2026-07-14T20:00:18.695Z</dcterms:modified>
</cp:coreProperties>
</file>

<file path=docProps/custom.xml><?xml version="1.0" encoding="utf-8"?>
<Properties xmlns="http://schemas.openxmlformats.org/officeDocument/2006/custom-properties" xmlns:vt="http://schemas.openxmlformats.org/officeDocument/2006/docPropsVTypes"/>
</file>